
<file path=[Content_Types].xml><?xml version="1.0" encoding="utf-8"?>
<Types xmlns="http://schemas.openxmlformats.org/package/2006/content-types">
  <Default Extension="rels" ContentType="application/vnd.openxmlformats-package.relationships+xml"/>
  <Default Extension="xml" ContentType="application/xml"/>
  <Default Extension="emf" ContentType="image/emf"/>
  <Default Extension="bin" ContentType="application/vnd.openxmlformats-officedocument.oleObject"/>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b/>
          <w:bCs/>
          <w:sz w:val="44"/>
          <w:szCs w:val="44"/>
        </w:rPr>
      </w:pPr>
      <w:r>
        <w:rPr>
          <w:b/>
          <w:bCs/>
          <w:sz w:val="44"/>
          <w:szCs w:val="44"/>
        </w:rPr>
        <w:t>曲阳县审计局</w:t>
      </w:r>
    </w:p>
    <w:p>
      <w:pPr>
        <w:jc w:val="center"/>
        <w:rPr>
          <w:b/>
          <w:bCs/>
          <w:sz w:val="44"/>
          <w:szCs w:val="44"/>
        </w:rPr>
      </w:pPr>
      <w:r>
        <w:rPr>
          <w:b/>
          <w:bCs/>
          <w:sz w:val="44"/>
          <w:szCs w:val="44"/>
        </w:rPr>
        <w:t>关于行政处罚裁量权基准及适用规则的</w:t>
      </w:r>
    </w:p>
    <w:p>
      <w:pPr>
        <w:jc w:val="center"/>
        <w:rPr>
          <w:b/>
          <w:bCs/>
          <w:sz w:val="44"/>
          <w:szCs w:val="44"/>
        </w:rPr>
      </w:pPr>
      <w:r>
        <w:rPr>
          <w:b/>
          <w:bCs/>
          <w:sz w:val="44"/>
          <w:szCs w:val="44"/>
        </w:rPr>
        <w:t>公示</w:t>
      </w:r>
    </w:p>
    <w:p>
      <w:pPr>
        <w:spacing w:line="560" w:lineRule="exact"/>
        <w:jc w:val="left"/>
        <w:rPr>
          <w:rFonts w:ascii="仿宋" w:eastAsia="仿宋" w:cs="仿宋" w:hAnsi="仿宋"/>
          <w:b/>
          <w:bCs/>
          <w:sz w:val="32"/>
          <w:szCs w:val="32"/>
        </w:rPr>
      </w:pPr>
    </w:p>
    <w:p>
      <w:pPr>
        <w:spacing w:line="560" w:lineRule="exact"/>
        <w:ind w:firstLineChars="200" w:firstLine="640"/>
        <w:jc w:val="left"/>
        <w:rPr>
          <w:rFonts w:ascii="仿宋" w:eastAsia="仿宋" w:cs="仿宋" w:hAnsi="仿宋"/>
          <w:sz w:val="32"/>
          <w:szCs w:val="32"/>
        </w:rPr>
      </w:pPr>
      <w:r>
        <w:rPr>
          <w:rFonts w:ascii="仿宋" w:eastAsia="仿宋" w:cs="仿宋" w:hAnsi="仿宋"/>
          <w:sz w:val="32"/>
          <w:szCs w:val="32"/>
        </w:rPr>
        <w:t>为规范审计机关行政处罚权的行使，提高审计机关行政执法水平，按照</w:t>
      </w:r>
      <w:r>
        <w:rPr>
          <w:rFonts w:ascii="仿宋" w:eastAsia="仿宋" w:cs="仿宋" w:hAnsi="仿宋" w:hint="eastAsia"/>
          <w:sz w:val="32"/>
          <w:szCs w:val="32"/>
        </w:rPr>
        <w:t>“权力取得有据、配置科学、运行公开、行使依法、监督到位”</w:t>
      </w:r>
      <w:r>
        <w:rPr>
          <w:rFonts w:ascii="仿宋" w:eastAsia="仿宋" w:cs="仿宋" w:hAnsi="仿宋"/>
          <w:sz w:val="32"/>
          <w:szCs w:val="32"/>
        </w:rPr>
        <w:t>的要求，对行政处罚裁量权基准及适用规则进行动态调整，并向社会公示。现将《曲阳县审计局关于转发&lt;河北省审计厅关于印发河北省审计机关行政处罚裁量权基准及适用规则的通知&gt;的通知》予以公示。</w:t>
      </w:r>
    </w:p>
    <w:p>
      <w:pPr>
        <w:spacing w:line="560" w:lineRule="exact"/>
        <w:ind w:firstLine="647"/>
        <w:jc w:val="left"/>
        <w:rPr>
          <w:rFonts w:ascii="仿宋" w:eastAsia="仿宋" w:cs="仿宋" w:hAnsi="仿宋"/>
          <w:b/>
          <w:bCs/>
          <w:sz w:val="32"/>
          <w:szCs w:val="32"/>
        </w:rPr>
      </w:pPr>
      <w:r>
        <w:rPr>
          <w:rFonts w:ascii="仿宋" w:eastAsia="仿宋" w:cs="仿宋" w:hAnsi="仿宋"/>
          <w:sz w:val="32"/>
          <w:szCs w:val="32"/>
        </w:rPr>
        <w:t>附件：曲阳县审计局关于转发《河北省审计厅关于印发河北省审计机关行政处罚裁量权基准及适用规则的通知》的通知</w:t>
      </w:r>
    </w:p>
    <w:p>
      <w:pPr>
        <w:spacing w:line="560" w:lineRule="exact"/>
        <w:ind w:firstLine="647"/>
        <w:jc w:val="left"/>
        <w:rPr>
          <w:rFonts w:ascii="仿宋" w:eastAsia="仿宋" w:cs="仿宋" w:hAnsi="仿宋"/>
          <w:b/>
          <w:bCs/>
          <w:sz w:val="32"/>
          <w:szCs w:val="32"/>
        </w:rPr>
      </w:pPr>
    </w:p>
    <w:p>
      <w:pPr>
        <w:spacing w:line="560" w:lineRule="exact"/>
        <w:ind w:firstLine="647"/>
        <w:jc w:val="left"/>
        <w:rPr>
          <w:rFonts w:ascii="仿宋" w:eastAsia="仿宋" w:cs="仿宋" w:hAnsi="仿宋"/>
          <w:b/>
          <w:bCs/>
          <w:sz w:val="32"/>
          <w:szCs w:val="32"/>
        </w:rPr>
      </w:pPr>
    </w:p>
    <w:p>
      <w:pPr>
        <w:spacing w:line="560" w:lineRule="exact"/>
        <w:ind w:firstLineChars="1502" w:firstLine="4806"/>
        <w:jc w:val="left"/>
        <w:rPr>
          <w:rFonts w:ascii="仿宋" w:eastAsia="仿宋" w:cs="仿宋" w:hAnsi="仿宋"/>
          <w:bCs/>
          <w:sz w:val="32"/>
          <w:szCs w:val="32"/>
        </w:rPr>
      </w:pPr>
      <w:r>
        <w:rPr>
          <w:rFonts w:ascii="仿宋" w:eastAsia="仿宋" w:cs="仿宋" w:hAnsi="仿宋"/>
          <w:bCs/>
          <w:sz w:val="32"/>
          <w:szCs w:val="32"/>
        </w:rPr>
        <w:t>曲阳县审计局</w:t>
      </w:r>
    </w:p>
    <w:p>
      <w:pPr>
        <w:spacing w:line="560" w:lineRule="exact"/>
        <w:ind w:firstLineChars="1702" w:firstLine="5446"/>
        <w:jc w:val="left"/>
        <w:rPr>
          <w:rFonts w:ascii="仿宋" w:eastAsia="仿宋" w:cs="仿宋" w:hAnsi="仿宋"/>
          <w:bCs/>
          <w:sz w:val="32"/>
          <w:szCs w:val="32"/>
        </w:rPr>
      </w:pPr>
      <w:r>
        <w:rPr>
          <w:rFonts w:ascii="仿宋" w:eastAsia="仿宋" w:cs="仿宋" w:hAnsi="仿宋"/>
          <w:bCs/>
          <w:sz w:val="32"/>
          <w:szCs w:val="32"/>
        </w:rPr>
        <w:t>2025年1月2</w:t>
      </w:r>
      <w:bookmarkStart w:id="0" w:name="_GoBack"/>
      <w:bookmarkEnd w:id="0"/>
      <w:r>
        <w:rPr>
          <w:rFonts w:ascii="仿宋" w:eastAsia="仿宋" w:cs="仿宋" w:hAnsi="仿宋"/>
          <w:bCs/>
          <w:sz w:val="32"/>
          <w:szCs w:val="32"/>
        </w:rPr>
        <w:t>日</w:t>
      </w:r>
    </w:p>
    <w:p>
      <w:pPr>
        <w:ind w:firstLineChars="1702" w:firstLine="5446"/>
        <w:jc w:val="left"/>
        <w:rPr>
          <w:rFonts w:ascii="仿宋" w:eastAsia="仿宋" w:cs="仿宋" w:hAnsi="仿宋"/>
          <w:b/>
          <w:bCs/>
          <w:sz w:val="32"/>
          <w:szCs w:val="32"/>
        </w:rPr>
      </w:pPr>
    </w:p>
    <w:p>
      <w:pPr>
        <w:ind w:firstLineChars="1702" w:firstLine="5446"/>
        <w:jc w:val="left"/>
        <w:rPr>
          <w:rFonts w:ascii="仿宋" w:eastAsia="仿宋" w:cs="仿宋" w:hAnsi="仿宋"/>
          <w:b/>
          <w:bCs/>
          <w:sz w:val="32"/>
          <w:szCs w:val="32"/>
        </w:rPr>
      </w:pPr>
    </w:p>
    <w:p>
      <w:pPr>
        <w:ind w:firstLineChars="1702" w:firstLine="5446"/>
        <w:jc w:val="left"/>
        <w:rPr>
          <w:rFonts w:ascii="仿宋" w:eastAsia="仿宋" w:cs="仿宋" w:hAnsi="仿宋"/>
          <w:b/>
          <w:bCs/>
          <w:sz w:val="32"/>
          <w:szCs w:val="32"/>
        </w:rPr>
      </w:pPr>
    </w:p>
    <w:p>
      <w:pPr>
        <w:ind w:firstLineChars="1702" w:firstLine="5446"/>
        <w:jc w:val="left"/>
        <w:rPr>
          <w:rFonts w:ascii="仿宋" w:eastAsia="仿宋" w:cs="仿宋" w:hAnsi="仿宋"/>
          <w:b/>
          <w:bCs/>
          <w:sz w:val="32"/>
          <w:szCs w:val="32"/>
        </w:rPr>
      </w:pPr>
    </w:p>
    <w:p>
      <w:pPr>
        <w:spacing w:line="500" w:lineRule="exact"/>
        <w:rPr>
          <w:rFonts w:eastAsia="仿宋_GB2312"/>
          <w:bCs/>
          <w:sz w:val="32"/>
          <w:szCs w:val="24"/>
          <w:shd w:val="clear" w:color="auto" w:fill="auto"/>
          <w:lang w:eastAsia="zh-CN"/>
        </w:rPr>
      </w:pPr>
    </w:p>
    <w:p>
      <w:pPr>
        <w:spacing w:line="500" w:lineRule="exact"/>
        <w:rPr>
          <w:rFonts w:eastAsia="仿宋_GB2312"/>
          <w:bCs/>
          <w:sz w:val="32"/>
          <w:szCs w:val="24"/>
          <w:shd w:val="clear" w:color="auto" w:fill="auto"/>
          <w:lang w:eastAsia="zh-CN"/>
        </w:rPr>
      </w:pPr>
    </w:p>
    <w:p>
      <w:pPr>
        <w:spacing w:line="500" w:lineRule="exact"/>
        <w:rPr>
          <w:rFonts w:eastAsia="仿宋_GB2312"/>
          <w:bCs/>
          <w:sz w:val="32"/>
          <w:szCs w:val="24"/>
          <w:shd w:val="clear" w:color="auto" w:fill="auto"/>
          <w:lang w:eastAsia="zh-CN"/>
        </w:rPr>
      </w:pPr>
    </w:p>
    <w:p>
      <w:pPr>
        <w:spacing w:line="500" w:lineRule="exact"/>
        <w:rPr>
          <w:rFonts w:eastAsia="仿宋_GB2312"/>
          <w:bCs/>
          <w:sz w:val="32"/>
          <w:szCs w:val="24"/>
          <w:shd w:val="clear" w:color="auto" w:fill="auto"/>
          <w:lang w:eastAsia="zh-CN"/>
        </w:rPr>
      </w:pPr>
    </w:p>
    <w:p>
      <w:pPr>
        <w:spacing w:line="500" w:lineRule="exact"/>
        <w:ind w:left="0"/>
        <w:rPr>
          <w:rFonts w:ascii="黑体" w:eastAsia="黑体" w:cs="黑体" w:hAnsi="黑体" w:hint="eastAsia"/>
          <w:bCs/>
          <w:sz w:val="32"/>
          <w:szCs w:val="24"/>
          <w:shd w:val="clear" w:color="auto" w:fill="auto"/>
          <w:lang w:eastAsia="zh-CN"/>
        </w:rPr>
      </w:pPr>
      <w:r>
        <w:rPr>
          <w:rFonts w:ascii="黑体" w:eastAsia="黑体" w:cs="黑体" w:hAnsi="黑体" w:hint="eastAsia"/>
          <w:bCs/>
          <w:sz w:val="32"/>
          <w:szCs w:val="24"/>
          <w:shd w:val="clear" w:color="auto" w:fill="auto"/>
          <w:lang w:eastAsia="zh-CN"/>
        </w:rPr>
        <w:t>附件</w:t>
      </w:r>
    </w:p>
    <w:p>
      <w:pPr>
        <w:spacing w:line="500" w:lineRule="exact"/>
        <w:rPr>
          <w:rFonts w:eastAsia="仿宋_GB2312"/>
          <w:bCs/>
          <w:sz w:val="32"/>
          <w:szCs w:val="24"/>
          <w:shd w:val="clear" w:color="auto" w:fill="auto"/>
          <w:lang w:eastAsia="zh-CN"/>
        </w:rPr>
      </w:pPr>
    </w:p>
    <w:p>
      <w:pPr>
        <w:spacing w:line="500" w:lineRule="exact"/>
        <w:rPr>
          <w:rFonts w:eastAsia="仿宋_GB2312"/>
          <w:bCs/>
          <w:sz w:val="32"/>
          <w:szCs w:val="24"/>
          <w:shd w:val="clear" w:color="auto" w:fill="auto"/>
          <w:lang w:eastAsia="zh-CN"/>
        </w:rPr>
      </w:pPr>
    </w:p>
    <w:p>
      <w:pPr>
        <w:jc w:val="center"/>
        <w:rPr>
          <w:rFonts w:hint="eastAsia"/>
          <w:b/>
          <w:bCs/>
          <w:color w:val="FF0000"/>
          <w:sz w:val="96"/>
          <w:szCs w:val="96"/>
          <w:lang w:eastAsia="zh-CN"/>
        </w:rPr>
      </w:pPr>
      <w:r>
        <w:rPr>
          <w:rFonts w:hint="eastAsia"/>
          <w:b/>
          <w:bCs/>
          <w:color w:val="FF0000"/>
          <w:sz w:val="96"/>
          <w:szCs w:val="96"/>
          <w:lang w:eastAsia="zh-CN"/>
        </w:rPr>
        <w:t>曲阳县审计局</w:t>
      </w:r>
    </w:p>
    <w:p>
      <w:pPr>
        <w:jc w:val="center"/>
        <w:rPr>
          <w:rFonts w:ascii="仿宋" w:eastAsia="仿宋" w:cs="仿宋" w:hAnsi="仿宋" w:hint="eastAsia"/>
          <w:b w:val="0"/>
          <w:bCs w:val="0"/>
          <w:sz w:val="32"/>
          <w:szCs w:val="32"/>
          <w:lang w:eastAsia="zh-CN"/>
        </w:rPr>
      </w:pPr>
    </w:p>
    <w:p>
      <w:pPr>
        <w:jc w:val="both"/>
        <w:rPr>
          <w:rFonts w:ascii="仿宋" w:eastAsia="仿宋" w:cs="仿宋" w:hAnsi="仿宋" w:hint="eastAsia"/>
          <w:b w:val="0"/>
          <w:bCs w:val="0"/>
          <w:color w:val="auto"/>
          <w:sz w:val="32"/>
          <w:szCs w:val="32"/>
          <w:u w:val="single" w:color="FF0000"/>
          <w:lang w:val="en-US" w:eastAsia="zh-CN"/>
        </w:rPr>
      </w:pPr>
      <w:r>
        <w:rPr>
          <w:rFonts w:ascii="仿宋" w:eastAsia="仿宋" w:cs="仿宋" w:hAnsi="仿宋" w:hint="eastAsia"/>
          <w:b w:val="0"/>
          <w:bCs w:val="0"/>
          <w:color w:val="auto"/>
          <w:sz w:val="32"/>
          <w:szCs w:val="32"/>
          <w:u w:val="single" w:color="FF0000"/>
          <w:lang w:val="en-US" w:eastAsia="zh-CN"/>
        </w:rPr>
        <w:t xml:space="preserve">                  曲审</w:t>
      </w:r>
      <w:r>
        <w:rPr>
          <w:rFonts w:ascii="仿宋" w:eastAsia="仿宋" w:cs="仿宋" w:hAnsi="仿宋" w:hint="eastAsia"/>
          <w:b w:val="0"/>
          <w:bCs w:val="0"/>
          <w:color w:val="auto"/>
          <w:sz w:val="32"/>
          <w:szCs w:val="32"/>
          <w:u w:val="single" w:color="FF0000"/>
          <w:lang w:eastAsia="zh-CN"/>
        </w:rPr>
        <w:t>〔</w:t>
      </w:r>
      <w:r>
        <w:rPr>
          <w:rFonts w:ascii="仿宋" w:eastAsia="仿宋" w:cs="仿宋" w:hAnsi="仿宋" w:hint="eastAsia"/>
          <w:b w:val="0"/>
          <w:bCs w:val="0"/>
          <w:color w:val="auto"/>
          <w:sz w:val="32"/>
          <w:szCs w:val="32"/>
          <w:u w:val="single" w:color="FF0000"/>
          <w:lang w:val="en-US" w:eastAsia="zh-CN"/>
        </w:rPr>
        <w:t>202</w:t>
      </w:r>
      <w:r>
        <w:rPr>
          <w:rFonts w:ascii="仿宋" w:eastAsia="仿宋" w:cs="仿宋" w:hAnsi="仿宋"/>
          <w:b w:val="0"/>
          <w:bCs w:val="0"/>
          <w:color w:val="auto"/>
          <w:sz w:val="32"/>
          <w:szCs w:val="32"/>
          <w:u w:val="single" w:color="FF0000"/>
          <w:lang w:val="en-US" w:eastAsia="zh-CN"/>
        </w:rPr>
        <w:t>3</w:t>
      </w:r>
      <w:r>
        <w:rPr>
          <w:rFonts w:ascii="仿宋" w:eastAsia="仿宋" w:cs="仿宋" w:hAnsi="仿宋" w:hint="eastAsia"/>
          <w:b w:val="0"/>
          <w:bCs w:val="0"/>
          <w:color w:val="auto"/>
          <w:sz w:val="32"/>
          <w:szCs w:val="32"/>
          <w:u w:val="single" w:color="FF0000"/>
          <w:lang w:val="en-US" w:eastAsia="zh-CN"/>
        </w:rPr>
        <w:t xml:space="preserve">〕1号                  </w:t>
      </w:r>
    </w:p>
    <w:p>
      <w:pPr>
        <w:ind w:left="0"/>
        <w:jc w:val="center"/>
        <w:rPr>
          <w:rFonts w:ascii="宋体" w:cs="宋体" w:hAnsi="宋体"/>
          <w:b/>
          <w:bCs/>
          <w:sz w:val="44"/>
          <w:szCs w:val="44"/>
        </w:rPr>
      </w:pPr>
    </w:p>
    <w:p>
      <w:pPr>
        <w:ind w:left="0"/>
        <w:jc w:val="center"/>
        <w:rPr>
          <w:rFonts w:ascii="宋体" w:cs="宋体" w:hAnsi="宋体" w:hint="eastAsia"/>
          <w:b/>
          <w:bCs/>
          <w:sz w:val="44"/>
          <w:szCs w:val="44"/>
        </w:rPr>
      </w:pPr>
      <w:r>
        <w:rPr>
          <w:rFonts w:ascii="宋体" w:cs="宋体" w:hAnsi="宋体" w:hint="eastAsia"/>
          <w:b/>
          <w:bCs/>
          <w:sz w:val="44"/>
          <w:szCs w:val="44"/>
        </w:rPr>
        <w:t>曲阳县审计局关于转发《河北省审计厅关于印发河北省审计机关行政处罚裁量权基准及适用规则的通知》的通知</w:t>
      </w:r>
    </w:p>
    <w:p>
      <w:pPr>
        <w:spacing w:line="560" w:lineRule="exact"/>
        <w:ind w:left="0"/>
        <w:jc w:val="left"/>
        <w:rPr>
          <w:rFonts w:ascii="仿宋" w:eastAsia="仿宋" w:cs="仿宋" w:hAnsi="仿宋"/>
          <w:b/>
          <w:bCs/>
          <w:sz w:val="32"/>
          <w:szCs w:val="32"/>
        </w:rPr>
      </w:pPr>
    </w:p>
    <w:p>
      <w:pPr>
        <w:spacing w:line="560" w:lineRule="exact"/>
        <w:jc w:val="left"/>
        <w:rPr>
          <w:rFonts w:ascii="仿宋" w:eastAsia="仿宋" w:cs="仿宋" w:hAnsi="仿宋"/>
          <w:sz w:val="32"/>
          <w:szCs w:val="32"/>
        </w:rPr>
      </w:pPr>
      <w:r>
        <w:rPr>
          <w:rFonts w:ascii="仿宋" w:eastAsia="仿宋" w:cs="仿宋" w:hAnsi="仿宋"/>
          <w:sz w:val="32"/>
          <w:szCs w:val="32"/>
        </w:rPr>
        <w:t>局内各股室：</w:t>
      </w:r>
    </w:p>
    <w:p>
      <w:pPr>
        <w:spacing w:line="560" w:lineRule="exact"/>
        <w:ind w:left="0" w:firstLine="647"/>
        <w:jc w:val="left"/>
        <w:rPr>
          <w:rFonts w:ascii="仿宋" w:eastAsia="仿宋" w:cs="仿宋" w:hAnsi="仿宋"/>
          <w:sz w:val="32"/>
          <w:szCs w:val="32"/>
        </w:rPr>
      </w:pPr>
      <w:r>
        <w:rPr>
          <w:rFonts w:ascii="仿宋" w:eastAsia="仿宋" w:cs="仿宋" w:hAnsi="仿宋"/>
          <w:sz w:val="32"/>
          <w:szCs w:val="32"/>
        </w:rPr>
        <w:t>现将《河北省审计厅关于印发河北省审计机关行政处罚裁量权基准及适用规则的通知》（冀审〔2023〕44号）转发给你们，请认真贯彻执行。</w:t>
      </w:r>
    </w:p>
    <w:p>
      <w:pPr>
        <w:spacing w:line="560" w:lineRule="exact"/>
        <w:ind w:left="0" w:firstLine="647"/>
        <w:jc w:val="left"/>
        <w:rPr>
          <w:rFonts w:ascii="仿宋" w:eastAsia="仿宋" w:cs="仿宋" w:hAnsi="仿宋"/>
          <w:sz w:val="32"/>
          <w:szCs w:val="32"/>
        </w:rPr>
      </w:pPr>
      <w:r>
        <w:rPr>
          <w:rFonts w:ascii="仿宋" w:eastAsia="仿宋" w:cs="仿宋" w:hAnsi="仿宋"/>
          <w:sz w:val="32"/>
          <w:szCs w:val="32"/>
        </w:rPr>
        <w:t xml:space="preserve">                             </w:t>
      </w:r>
    </w:p>
    <w:p>
      <w:pPr>
        <w:spacing w:line="560" w:lineRule="exact"/>
        <w:ind w:left="0" w:firstLine="647"/>
        <w:jc w:val="left"/>
        <w:rPr>
          <w:rFonts w:ascii="仿宋" w:eastAsia="仿宋" w:cs="仿宋" w:hAnsi="仿宋"/>
          <w:sz w:val="32"/>
          <w:szCs w:val="32"/>
        </w:rPr>
      </w:pPr>
      <w:r>
        <w:rPr>
          <w:rFonts w:ascii="仿宋" w:eastAsia="仿宋" w:cs="仿宋" w:hAnsi="仿宋"/>
          <w:sz w:val="32"/>
          <w:szCs w:val="32"/>
        </w:rPr>
        <w:t xml:space="preserve">                          2023年11月22日</w:t>
      </w: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spacing w:line="560" w:lineRule="exact"/>
        <w:ind w:left="0" w:firstLine="647"/>
        <w:jc w:val="left"/>
        <w:rPr>
          <w:rFonts w:ascii="仿宋" w:eastAsia="仿宋" w:cs="仿宋" w:hAnsi="仿宋"/>
          <w:sz w:val="32"/>
          <w:szCs w:val="32"/>
        </w:rPr>
      </w:pPr>
    </w:p>
    <w:p>
      <w:pPr>
        <w:adjustRightInd w:val="0"/>
        <w:snapToGrid w:val="0"/>
        <w:spacing w:line="1060" w:lineRule="exact"/>
        <w:jc w:val="center"/>
        <w:rPr>
          <w:rFonts w:ascii="长城大标宋体" w:eastAsia="长城大标宋体"/>
          <w:color w:val="FF0000"/>
          <w:spacing w:val="16"/>
          <w:sz w:val="72"/>
          <w:szCs w:val="72"/>
        </w:rPr>
      </w:pPr>
      <w:r>
        <w:rPr>
          <w:rFonts w:ascii="长城大标宋体" w:eastAsia="长城大标宋体" w:hint="eastAsia"/>
          <w:color w:val="FF0000"/>
          <w:spacing w:val="40"/>
          <w:sz w:val="80"/>
          <w:szCs w:val="80"/>
        </w:rPr>
        <w:t>河北省审计厅文件</w:t>
      </w:r>
    </w:p>
    <w:p>
      <w:pPr>
        <w:snapToGrid w:val="0"/>
        <w:spacing w:line="580" w:lineRule="atLeast"/>
      </w:pPr>
    </w:p>
    <w:p>
      <w:pPr>
        <w:snapToGrid w:val="0"/>
        <w:spacing w:line="580" w:lineRule="atLeast"/>
        <w:rPr>
          <w:rFonts w:ascii="仿宋_GB2312" w:hAnsi="仿宋_GB2312"/>
        </w:rPr>
      </w:pPr>
    </w:p>
    <w:p>
      <w:pPr>
        <w:tabs>
          <w:tab w:val="left" w:pos="158"/>
          <w:tab w:val="left" w:pos="316"/>
          <w:tab w:val="left" w:pos="8532"/>
          <w:tab w:val="left" w:pos="8690"/>
        </w:tabs>
        <w:jc w:val="center"/>
        <w:rPr>
          <w:rFonts w:ascii="仿宋" w:eastAsia="仿宋" w:cs="仿宋" w:hAnsi="仿宋" w:hint="eastAsia"/>
          <w:sz w:val="32"/>
          <w:szCs w:val="32"/>
        </w:rPr>
      </w:pPr>
      <w:r>
        <w:rPr>
          <w:rFonts w:ascii="仿宋" w:eastAsia="仿宋" w:cs="仿宋" w:hAnsi="仿宋" w:hint="eastAsia"/>
          <w:sz w:val="32"/>
          <w:szCs w:val="32"/>
        </w:rPr>
        <w:t>冀审〔2023〕44号</w:t>
      </w:r>
    </w:p>
    <w:p>
      <w:pPr>
        <w:pBdr>
          <w:top w:val="none" w:sz="0" w:space="0" w:color="auto"/>
          <w:left w:val="none" w:sz="0" w:space="0" w:color="auto"/>
          <w:bottom w:val="single" w:sz="12" w:space="1" w:color="FF0000"/>
          <w:right w:val="none" w:sz="0" w:space="0" w:color="auto"/>
        </w:pBdr>
        <w:spacing w:line="80" w:lineRule="exact"/>
        <w:ind w:leftChars="-6" w:left="-13" w:rightChars="-55" w:right="-115"/>
        <w:jc w:val="center"/>
        <w:rPr>
          <w:color w:val="FF0000"/>
          <w:spacing w:val="-20"/>
        </w:rPr>
      </w:pPr>
    </w:p>
    <w:p>
      <w:pPr>
        <w:spacing w:line="560" w:lineRule="exact"/>
      </w:pPr>
    </w:p>
    <w:p>
      <w:pPr>
        <w:spacing w:line="560" w:lineRule="exact"/>
      </w:pPr>
    </w:p>
    <w:p>
      <w:pPr>
        <w:spacing w:line="700" w:lineRule="exact"/>
        <w:jc w:val="center"/>
        <w:rPr>
          <w:rFonts w:ascii="方正小标宋简体" w:eastAsia="方正小标宋简体" w:cs="方正小标宋_GBK" w:hAnsi="方正小标宋_GBK"/>
          <w:sz w:val="44"/>
          <w:szCs w:val="44"/>
        </w:rPr>
      </w:pPr>
      <w:r>
        <w:rPr>
          <w:rFonts w:ascii="方正小标宋简体" w:eastAsia="方正小标宋简体" w:cs="方正小标宋_GBK" w:hAnsi="方正小标宋_GBK" w:hint="eastAsia"/>
          <w:sz w:val="44"/>
          <w:szCs w:val="44"/>
        </w:rPr>
        <w:t>河北省审计厅</w:t>
      </w:r>
    </w:p>
    <w:p>
      <w:pPr>
        <w:spacing w:line="700" w:lineRule="exact"/>
        <w:jc w:val="center"/>
        <w:rPr>
          <w:rFonts w:ascii="方正小标宋简体" w:eastAsia="方正小标宋简体" w:cs="方正小标宋_GBK" w:hAnsi="方正小标宋_GBK"/>
          <w:sz w:val="44"/>
          <w:szCs w:val="44"/>
        </w:rPr>
      </w:pPr>
      <w:r>
        <w:rPr>
          <w:rFonts w:ascii="方正小标宋简体" w:eastAsia="方正小标宋简体" w:cs="方正小标宋_GBK" w:hAnsi="方正小标宋_GBK" w:hint="eastAsia"/>
          <w:sz w:val="44"/>
          <w:szCs w:val="44"/>
        </w:rPr>
        <w:t>关于印发河北省审计机关行政处罚</w:t>
      </w:r>
    </w:p>
    <w:p>
      <w:pPr>
        <w:spacing w:line="700" w:lineRule="exact"/>
        <w:jc w:val="center"/>
        <w:rPr>
          <w:rFonts w:ascii="方正小标宋简体" w:eastAsia="方正小标宋简体" w:cs="方正小标宋_GBK" w:hAnsi="方正小标宋_GBK"/>
          <w:sz w:val="44"/>
          <w:szCs w:val="44"/>
        </w:rPr>
      </w:pPr>
      <w:r>
        <w:rPr>
          <w:rFonts w:ascii="方正小标宋简体" w:eastAsia="方正小标宋简体" w:cs="方正小标宋_GBK" w:hAnsi="方正小标宋_GBK" w:hint="eastAsia"/>
          <w:sz w:val="44"/>
          <w:szCs w:val="44"/>
        </w:rPr>
        <w:t>裁量权基准及适用规则的通知</w:t>
      </w:r>
    </w:p>
    <w:p>
      <w:pPr>
        <w:spacing w:line="620" w:lineRule="exact"/>
        <w:rPr>
          <w:rFonts w:ascii="仿宋_GB2312" w:cs="仿宋_GB2312" w:hAnsi="仿宋_GB2312"/>
          <w:color w:val="333333"/>
          <w:kern w:val="0"/>
          <w:szCs w:val="32"/>
          <w:shd w:val="clear" w:color="auto" w:fill="FFFFFF"/>
        </w:rPr>
      </w:pPr>
    </w:p>
    <w:p>
      <w:pPr>
        <w:spacing w:line="620" w:lineRule="exact"/>
        <w:rPr>
          <w:rFonts w:ascii="仿宋" w:eastAsia="仿宋" w:cs="仿宋" w:hAnsi="仿宋" w:hint="eastAsia"/>
          <w:sz w:val="32"/>
          <w:szCs w:val="32"/>
        </w:rPr>
      </w:pPr>
      <w:r>
        <w:rPr>
          <w:rFonts w:ascii="仿宋" w:eastAsia="仿宋" w:cs="仿宋" w:hAnsi="仿宋" w:hint="eastAsia"/>
          <w:sz w:val="32"/>
          <w:szCs w:val="32"/>
        </w:rPr>
        <w:t>各市（含定州、辛集市）审计局，雄安新区党群工作部（审计中心），厅机关各处（室、局）、事业单位：</w:t>
      </w:r>
    </w:p>
    <w:p>
      <w:pPr>
        <w:pStyle w:val="17"/>
        <w:shd w:val="clear" w:color="auto" w:fill="FFFFFF"/>
        <w:spacing w:beforeAutospacing="0" w:afterAutospacing="0" w:line="620" w:lineRule="exact"/>
        <w:ind w:firstLineChars="200" w:firstLine="640"/>
        <w:jc w:val="both"/>
        <w:rPr>
          <w:rFonts w:ascii="仿宋" w:eastAsia="仿宋" w:cs="仿宋" w:hAnsi="仿宋" w:hint="eastAsia"/>
          <w:sz w:val="32"/>
          <w:szCs w:val="32"/>
        </w:rPr>
      </w:pPr>
      <w:r>
        <w:rPr>
          <w:rFonts w:ascii="仿宋" w:eastAsia="仿宋" w:cs="仿宋" w:hAnsi="仿宋" w:hint="eastAsia"/>
          <w:sz w:val="32"/>
          <w:szCs w:val="32"/>
        </w:rPr>
        <w:t>《河北省审计机关行政处罚裁量权适用规则》和《河北省审计机关行政处罚裁量权基准》已经厅党组会研究通过，现印发给你们，请遵照执行。执行中发现的问题，请及时书面报告省厅。</w:t>
      </w:r>
    </w:p>
    <w:p>
      <w:pPr>
        <w:pStyle w:val="17"/>
        <w:shd w:val="clear" w:color="auto" w:fill="FFFFFF"/>
        <w:spacing w:beforeAutospacing="0" w:afterAutospacing="0" w:line="620" w:lineRule="exact"/>
        <w:jc w:val="both"/>
        <w:rPr>
          <w:rFonts w:ascii="仿宋" w:eastAsia="仿宋" w:cs="仿宋" w:hAnsi="仿宋"/>
          <w:color w:val="333333"/>
          <w:sz w:val="32"/>
          <w:szCs w:val="32"/>
          <w:shd w:val="clear" w:color="auto" w:fill="FFFFFF"/>
        </w:rPr>
      </w:pPr>
    </w:p>
    <w:p>
      <w:pPr>
        <w:pStyle w:val="17"/>
        <w:shd w:val="clear" w:color="auto" w:fill="FFFFFF"/>
        <w:spacing w:beforeAutospacing="0" w:afterAutospacing="0" w:line="620" w:lineRule="exact"/>
        <w:jc w:val="both"/>
        <w:rPr>
          <w:rFonts w:ascii="仿宋" w:eastAsia="仿宋" w:cs="仿宋" w:hAnsi="仿宋"/>
          <w:color w:val="333333"/>
          <w:sz w:val="32"/>
          <w:szCs w:val="32"/>
          <w:shd w:val="clear" w:color="auto" w:fill="FFFFFF"/>
        </w:rPr>
      </w:pPr>
    </w:p>
    <w:p>
      <w:pPr>
        <w:pStyle w:val="17"/>
        <w:shd w:val="clear" w:color="auto" w:fill="FFFFFF"/>
        <w:spacing w:beforeAutospacing="0" w:afterAutospacing="0" w:line="620" w:lineRule="exact"/>
        <w:jc w:val="both"/>
        <w:rPr>
          <w:rFonts w:ascii="仿宋" w:eastAsia="仿宋" w:cs="仿宋" w:hAnsi="仿宋" w:hint="eastAsia"/>
          <w:color w:val="333333"/>
          <w:sz w:val="32"/>
          <w:szCs w:val="32"/>
          <w:shd w:val="clear" w:color="auto" w:fill="FFFFFF"/>
        </w:rPr>
      </w:pPr>
    </w:p>
    <w:p>
      <w:pPr>
        <w:pStyle w:val="17"/>
        <w:shd w:val="clear" w:color="auto" w:fill="FFFFFF"/>
        <w:spacing w:beforeAutospacing="0" w:afterAutospacing="0" w:line="600" w:lineRule="exact"/>
        <w:ind w:firstLineChars="200" w:firstLine="640"/>
        <w:jc w:val="both"/>
        <w:rPr>
          <w:rFonts w:ascii="仿宋" w:eastAsia="仿宋" w:cs="仿宋" w:hAnsi="仿宋"/>
          <w:sz w:val="32"/>
          <w:szCs w:val="32"/>
        </w:rPr>
      </w:pPr>
    </w:p>
    <w:p>
      <w:pPr>
        <w:pStyle w:val="17"/>
        <w:shd w:val="clear" w:color="auto" w:fill="FFFFFF"/>
        <w:spacing w:beforeAutospacing="0" w:afterAutospacing="0" w:line="600" w:lineRule="exact"/>
        <w:ind w:firstLineChars="200" w:firstLine="640"/>
        <w:jc w:val="both"/>
        <w:rPr>
          <w:rFonts w:ascii="仿宋" w:eastAsia="仿宋" w:cs="仿宋" w:hAnsi="仿宋"/>
          <w:sz w:val="32"/>
          <w:szCs w:val="32"/>
        </w:rPr>
      </w:pPr>
    </w:p>
    <w:p>
      <w:pPr>
        <w:pStyle w:val="17"/>
        <w:shd w:val="clear" w:color="auto" w:fill="FFFFFF"/>
        <w:spacing w:beforeAutospacing="0" w:afterAutospacing="0" w:line="600" w:lineRule="exact"/>
        <w:ind w:firstLineChars="200" w:firstLine="640"/>
        <w:jc w:val="both"/>
        <w:rPr>
          <w:rFonts w:ascii="仿宋" w:eastAsia="仿宋" w:cs="仿宋" w:hAnsi="仿宋" w:hint="eastAsia"/>
          <w:sz w:val="32"/>
          <w:szCs w:val="32"/>
        </w:rPr>
      </w:pPr>
      <w:r>
        <w:rPr>
          <w:rFonts w:ascii="仿宋" w:eastAsia="仿宋" w:cs="仿宋" w:hAnsi="仿宋" w:hint="eastAsia"/>
          <w:sz w:val="32"/>
          <w:szCs w:val="32"/>
        </w:rPr>
        <w:t>附件：1.</w:t>
      </w:r>
      <w:r>
        <w:rPr>
          <w:rFonts w:ascii="仿宋" w:eastAsia="仿宋" w:cs="仿宋" w:hAnsi="仿宋" w:hint="eastAsia"/>
          <w:sz w:val="32"/>
          <w:szCs w:val="32"/>
        </w:rPr>
        <w:fldChar w:fldCharType="begin"/>
      </w:r>
      <w:r>
        <w:instrText>HYPERLINK "https://sjt.ah.gov.cn/sjtoldfile/hneditor/uploadfile/20150806122113274.doc"</w:instrText>
      </w:r>
      <w:r>
        <w:rPr>
          <w:rFonts w:ascii="仿宋" w:eastAsia="仿宋" w:cs="仿宋" w:hAnsi="仿宋" w:hint="eastAsia"/>
          <w:sz w:val="32"/>
          <w:szCs w:val="32"/>
        </w:rPr>
        <w:fldChar w:fldCharType="separate"/>
      </w:r>
      <w:r>
        <w:rPr>
          <w:rFonts w:ascii="仿宋" w:eastAsia="仿宋" w:cs="仿宋" w:hAnsi="仿宋" w:hint="eastAsia"/>
          <w:sz w:val="32"/>
          <w:szCs w:val="32"/>
        </w:rPr>
        <w:t>河北省审计机关行政处罚裁量权适用规则</w:t>
      </w:r>
      <w:r>
        <w:rPr>
          <w:rFonts w:ascii="仿宋" w:eastAsia="仿宋" w:cs="仿宋" w:hAnsi="仿宋" w:hint="eastAsia"/>
          <w:sz w:val="32"/>
          <w:szCs w:val="32"/>
        </w:rPr>
        <w:fldChar w:fldCharType="end"/>
      </w:r>
    </w:p>
    <w:p>
      <w:pPr>
        <w:pStyle w:val="17"/>
        <w:shd w:val="clear" w:color="auto" w:fill="FFFFFF"/>
        <w:spacing w:beforeAutospacing="0" w:afterAutospacing="0" w:line="600" w:lineRule="exact"/>
        <w:ind w:firstLineChars="500" w:firstLine="1600"/>
        <w:jc w:val="both"/>
        <w:rPr>
          <w:rFonts w:ascii="仿宋" w:eastAsia="仿宋" w:cs="仿宋" w:hAnsi="仿宋" w:hint="eastAsia"/>
          <w:sz w:val="32"/>
          <w:szCs w:val="32"/>
        </w:rPr>
      </w:pPr>
      <w:r>
        <w:rPr>
          <w:rFonts w:ascii="仿宋" w:eastAsia="仿宋" w:cs="仿宋" w:hAnsi="仿宋" w:hint="eastAsia"/>
          <w:sz w:val="32"/>
          <w:szCs w:val="32"/>
        </w:rPr>
        <w:t>2.河北省审计机关行政处罚裁量权基准</w:t>
      </w:r>
    </w:p>
    <w:p>
      <w:pPr>
        <w:pStyle w:val="16"/>
        <w:spacing w:after="0" w:line="600" w:lineRule="exact"/>
        <w:ind w:left="0" w:firstLine="0"/>
        <w:rPr>
          <w:rFonts w:ascii="仿宋_GB2312" w:cs="仿宋_GB2312" w:hAnsi="仿宋_GB2312"/>
          <w:color w:val="333333"/>
          <w:kern w:val="0"/>
          <w:szCs w:val="32"/>
          <w:shd w:val="clear" w:color="auto" w:fill="FFFFFF"/>
        </w:rPr>
      </w:pPr>
      <w:r>
        <w:rPr>
          <w:rFonts w:ascii="仿宋_GB2312" w:cs="仿宋_GB2312" w:hAnsi="仿宋_GB2312"/>
          <w:color w:val="333333"/>
          <w:kern w:val="0"/>
          <w:szCs w:val="32"/>
          <w:shd w:val="clear" w:color="auto" w:fill="FFFFFF"/>
        </w:rPr>
        <w:object>
          <v:shapetype id="_x0000_t75" coordsize="21600,21600"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type="#_x0000_t75" filled="f" stroked="f" style="position:absolute;margin-left:96.1pt;margin-top:20.6pt;width:43.2pt;height:39.100002pt;z-index:14;mso-position-horizontal:absolute;mso-position-vertical:absolute;mso-wrap-distance-left:7.19989pt;mso-wrap-distance-right:7.19989pt;" o:ole="">
            <v:stroke color="#000000"/>
            <v:imagedata r:id="rId2" o:title="image1"/>
            <o:lock aspectratio="t"/>
          </v:shape>
          <o:OLEObject Type="Embed" ProgID="Package" ShapeID="_x0000_i1" DrawAspect="Icon" ObjectID="_1393063351" r:id="rId3"/>
        </w:object>
      </w:r>
    </w:p>
    <w:p>
      <w:pPr>
        <w:pStyle w:val="16"/>
        <w:spacing w:after="0" w:line="600" w:lineRule="exact"/>
        <w:ind w:left="0" w:firstLine="0"/>
        <w:rPr>
          <w:rFonts w:ascii="仿宋_GB2312" w:cs="仿宋_GB2312" w:hAnsi="仿宋_GB2312"/>
          <w:color w:val="333333"/>
          <w:kern w:val="0"/>
          <w:szCs w:val="32"/>
          <w:shd w:val="clear" w:color="auto" w:fill="FFFFFF"/>
        </w:rPr>
      </w:pPr>
    </w:p>
    <w:p>
      <w:pPr>
        <w:pStyle w:val="16"/>
        <w:spacing w:after="0" w:line="600" w:lineRule="exact"/>
        <w:ind w:left="0" w:firstLine="0"/>
        <w:rPr>
          <w:rFonts w:ascii="仿宋_GB2312" w:cs="仿宋_GB2312" w:hAnsi="仿宋_GB2312"/>
          <w:color w:val="333333"/>
          <w:kern w:val="0"/>
          <w:szCs w:val="32"/>
          <w:shd w:val="clear" w:color="auto" w:fill="FFFFFF"/>
        </w:rPr>
      </w:pPr>
    </w:p>
    <w:p>
      <w:pPr>
        <w:pStyle w:val="17"/>
        <w:shd w:val="clear" w:color="auto" w:fill="FFFFFF"/>
        <w:spacing w:line="600" w:lineRule="exact"/>
        <w:ind w:firstLineChars="1800" w:firstLine="5760"/>
        <w:rPr>
          <w:rFonts w:ascii="仿宋" w:eastAsia="仿宋" w:cs="仿宋" w:hAnsi="仿宋" w:hint="eastAsia"/>
          <w:sz w:val="32"/>
          <w:szCs w:val="32"/>
        </w:rPr>
      </w:pPr>
      <w:r>
        <w:rPr>
          <w:rFonts w:ascii="仿宋" w:eastAsia="仿宋" w:cs="仿宋" w:hAnsi="仿宋" w:hint="eastAsia"/>
          <w:sz w:val="32"/>
          <w:szCs w:val="32"/>
        </w:rPr>
        <w:t>河北省审计厅</w:t>
      </w:r>
    </w:p>
    <w:p>
      <w:pPr>
        <w:pStyle w:val="17"/>
        <w:shd w:val="clear" w:color="auto" w:fill="FFFFFF"/>
        <w:spacing w:line="600" w:lineRule="exact"/>
        <w:ind w:firstLineChars="1700" w:firstLine="5440"/>
        <w:rPr>
          <w:rFonts w:ascii="仿宋" w:eastAsia="仿宋" w:cs="仿宋" w:hAnsi="仿宋" w:hint="eastAsia"/>
          <w:sz w:val="32"/>
          <w:szCs w:val="32"/>
        </w:rPr>
      </w:pPr>
      <w:r>
        <w:rPr>
          <w:rFonts w:ascii="仿宋" w:eastAsia="仿宋" w:cs="仿宋" w:hAnsi="仿宋" w:hint="eastAsia"/>
          <w:sz w:val="32"/>
          <w:szCs w:val="32"/>
        </w:rPr>
        <w:t>2023年8月23日</w:t>
      </w: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仿宋_GB2312" w:cs="仿宋_GB2312" w:hAnsi="仿宋_GB2312"/>
          <w:color w:val="333333"/>
          <w:kern w:val="0"/>
          <w:szCs w:val="32"/>
          <w:shd w:val="clear" w:color="auto" w:fill="FFFFFF"/>
        </w:rPr>
      </w:pPr>
    </w:p>
    <w:p>
      <w:pPr>
        <w:pStyle w:val="16"/>
        <w:spacing w:after="0" w:line="560" w:lineRule="exact"/>
        <w:ind w:left="0" w:firstLine="0"/>
        <w:rPr>
          <w:rFonts w:ascii="黑体" w:eastAsia="黑体" w:cs="黑体" w:hAnsi="黑体"/>
          <w:color w:val="333333"/>
          <w:kern w:val="0"/>
          <w:szCs w:val="32"/>
          <w:shd w:val="clear" w:color="auto" w:fill="FFFFFF"/>
        </w:rPr>
      </w:pPr>
    </w:p>
    <w:p>
      <w:pPr>
        <w:pStyle w:val="16"/>
        <w:spacing w:after="0" w:line="560" w:lineRule="exact"/>
        <w:ind w:left="0" w:firstLine="0"/>
        <w:rPr>
          <w:rFonts w:ascii="黑体" w:eastAsia="黑体" w:cs="黑体" w:hAnsi="黑体"/>
          <w:color w:val="333333"/>
          <w:kern w:val="0"/>
          <w:szCs w:val="32"/>
          <w:shd w:val="clear" w:color="auto" w:fill="FFFFFF"/>
        </w:rPr>
      </w:pPr>
    </w:p>
    <w:p>
      <w:pPr>
        <w:pStyle w:val="16"/>
        <w:spacing w:after="0" w:line="560" w:lineRule="exact"/>
        <w:ind w:left="0" w:firstLine="0"/>
        <w:rPr>
          <w:rFonts w:ascii="黑体" w:eastAsia="黑体" w:cs="黑体" w:hAnsi="黑体"/>
          <w:kern w:val="0"/>
          <w:sz w:val="32"/>
          <w:szCs w:val="32"/>
        </w:rPr>
      </w:pPr>
    </w:p>
    <w:p>
      <w:pPr>
        <w:pStyle w:val="16"/>
        <w:spacing w:after="0" w:line="560" w:lineRule="exact"/>
        <w:ind w:left="0" w:firstLine="0"/>
        <w:rPr>
          <w:rFonts w:ascii="黑体" w:eastAsia="黑体" w:cs="黑体" w:hAnsi="黑体"/>
          <w:kern w:val="0"/>
          <w:sz w:val="32"/>
          <w:szCs w:val="32"/>
        </w:rPr>
      </w:pPr>
    </w:p>
    <w:p>
      <w:pPr>
        <w:pStyle w:val="16"/>
        <w:spacing w:after="0" w:line="560" w:lineRule="exact"/>
        <w:ind w:left="0" w:firstLine="0"/>
        <w:rPr>
          <w:rFonts w:ascii="黑体" w:eastAsia="黑体" w:cs="黑体" w:hAnsi="黑体" w:hint="eastAsia"/>
          <w:kern w:val="0"/>
          <w:sz w:val="32"/>
          <w:szCs w:val="32"/>
        </w:rPr>
      </w:pPr>
      <w:r>
        <w:rPr>
          <w:rFonts w:ascii="黑体" w:eastAsia="黑体" w:cs="黑体" w:hAnsi="黑体" w:hint="eastAsia"/>
          <w:kern w:val="0"/>
          <w:sz w:val="32"/>
          <w:szCs w:val="32"/>
        </w:rPr>
        <w:t>附件1</w:t>
      </w:r>
    </w:p>
    <w:p>
      <w:pPr>
        <w:pStyle w:val="16"/>
        <w:spacing w:after="0" w:line="560" w:lineRule="exact"/>
        <w:ind w:left="0" w:firstLine="0"/>
        <w:rPr>
          <w:rFonts w:ascii="仿宋_GB2312" w:cs="仿宋_GB2312" w:hAnsi="仿宋_GB2312"/>
          <w:color w:val="333333"/>
          <w:kern w:val="0"/>
          <w:szCs w:val="32"/>
          <w:shd w:val="clear" w:color="auto" w:fill="FFFFFF"/>
        </w:rPr>
      </w:pP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河北省审计机关行政处罚</w:t>
      </w:r>
    </w:p>
    <w:p>
      <w:pPr>
        <w:spacing w:line="560" w:lineRule="exact"/>
        <w:jc w:val="center"/>
        <w:rPr>
          <w:rFonts w:ascii="方正小标宋简体" w:eastAsia="方正小标宋简体" w:cs="方正小标宋简体" w:hAnsi="方正小标宋简体"/>
          <w:sz w:val="44"/>
          <w:szCs w:val="44"/>
        </w:rPr>
      </w:pPr>
      <w:r>
        <w:rPr>
          <w:rFonts w:ascii="方正小标宋简体" w:eastAsia="方正小标宋简体" w:cs="方正小标宋简体" w:hAnsi="方正小标宋简体" w:hint="eastAsia"/>
          <w:sz w:val="44"/>
          <w:szCs w:val="44"/>
        </w:rPr>
        <w:t>裁量权适用规则</w:t>
      </w:r>
    </w:p>
    <w:p>
      <w:pPr>
        <w:spacing w:line="560" w:lineRule="exact"/>
        <w:rPr>
          <w:rFonts w:ascii="仿宋_GB2312" w:hAnsi="仿宋_GB2312"/>
          <w:kern w:val="0"/>
          <w:szCs w:val="32"/>
        </w:rPr>
      </w:pP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第一条</w:t>
      </w:r>
      <w:r>
        <w:rPr>
          <w:rFonts w:ascii="黑体" w:eastAsia="黑体" w:cs="黑体" w:hAnsi="黑体" w:hint="eastAsia"/>
          <w:kern w:val="0"/>
          <w:sz w:val="32"/>
          <w:szCs w:val="32"/>
        </w:rPr>
        <w:t xml:space="preserve">  为规范审计机关行政处罚权的行使，提高审计机关行政执法水平，根据《中华人民共和国行政处罚法》及有关法律、法规、规章的有关规定，结合</w:t>
      </w:r>
      <w:bookmarkStart w:id="1" w:name="OLE_LINK2"/>
      <w:r>
        <w:rPr>
          <w:rFonts w:ascii="黑体" w:eastAsia="黑体" w:cs="黑体" w:hAnsi="黑体" w:hint="eastAsia"/>
          <w:kern w:val="0"/>
          <w:sz w:val="32"/>
          <w:szCs w:val="32"/>
        </w:rPr>
        <w:t>审计执法实际</w:t>
      </w:r>
      <w:bookmarkEnd w:id="1"/>
      <w:r>
        <w:rPr>
          <w:rFonts w:ascii="黑体" w:eastAsia="黑体" w:cs="黑体" w:hAnsi="黑体" w:hint="eastAsia"/>
          <w:kern w:val="0"/>
          <w:sz w:val="32"/>
          <w:szCs w:val="32"/>
        </w:rPr>
        <w:t>，制定本规则。</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第二条</w:t>
      </w:r>
      <w:bookmarkStart w:id="2" w:name="OLE_LINK1"/>
      <w:r>
        <w:rPr>
          <w:rFonts w:ascii="黑体" w:eastAsia="黑体" w:cs="黑体" w:hAnsi="黑体" w:hint="eastAsia"/>
          <w:kern w:val="0"/>
          <w:sz w:val="32"/>
          <w:szCs w:val="32"/>
        </w:rPr>
        <w:t>审计机关行政处罚裁量权，是指审计机关在法律、法规和规章所规定的行政处罚种类、幅度内，综合考虑违法情节、违法手段、违法后果、纠正措施等因素，合理确定处罚种类、处罚幅度或不予处罚的权限。行政处罚裁量权基准，是指审计机关在法定职权内，对违法行为的情节、程度认定设定细化的基本标准；对具体的某类违法行为是否给予处罚、给予何种处罚和何种幅度的处罚，设定细化的基本标准。</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第三条</w:t>
      </w:r>
      <w:r>
        <w:rPr>
          <w:rFonts w:ascii="黑体" w:eastAsia="黑体" w:cs="黑体" w:hAnsi="黑体" w:hint="eastAsia"/>
          <w:kern w:val="0"/>
          <w:sz w:val="32"/>
          <w:szCs w:val="32"/>
        </w:rPr>
        <w:t xml:space="preserve">  本规则与《河北省审计机关实施行政处罚裁量权基准》（以下简称《基准》）相配套，作为全省审计机关实施行政处罚裁量权基准的适用指导。</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第四条</w:t>
      </w:r>
      <w:bookmarkEnd w:id="2"/>
      <w:r>
        <w:rPr>
          <w:rFonts w:ascii="黑体" w:eastAsia="黑体" w:cs="黑体" w:hAnsi="黑体" w:hint="eastAsia"/>
          <w:kern w:val="0"/>
          <w:sz w:val="32"/>
          <w:szCs w:val="32"/>
        </w:rPr>
        <w:t xml:space="preserve">本规则所称审计机关行政处罚是指审计机关依法对违反审计法的行为和违反国家规定的财务收支行为采取的处罚措施。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审计机关行政处罚的种类有：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（一）警告、通报批评；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（二）罚款；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（三）没收违法所得；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（四）依法采取的其他处罚措施。</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第五条</w:t>
      </w:r>
      <w:r>
        <w:rPr>
          <w:rFonts w:ascii="黑体" w:eastAsia="黑体" w:cs="黑体" w:hAnsi="黑体" w:hint="eastAsia"/>
          <w:sz w:val="32"/>
          <w:szCs w:val="32"/>
        </w:rPr>
        <w:t>审计机关对违法事实、性质、情节等因素基本相同或相似的违法行为实施行政处罚时，适用的法律依据、处罚种类应当相同，处罚幅度应当基本相当。</w:t>
      </w:r>
    </w:p>
    <w:p>
      <w:pPr>
        <w:spacing w:line="560" w:lineRule="exact"/>
        <w:ind w:firstLineChars="200" w:firstLine="640"/>
        <w:rPr>
          <w:rFonts w:ascii="黑体" w:eastAsia="黑体" w:cs="黑体" w:hAnsi="黑体" w:hint="eastAsia"/>
          <w:sz w:val="32"/>
          <w:szCs w:val="32"/>
        </w:rPr>
      </w:pPr>
      <w:r>
        <w:rPr>
          <w:rFonts w:ascii="黑体" w:eastAsia="黑体" w:cs="黑体" w:hAnsi="黑体" w:hint="eastAsia"/>
          <w:b/>
          <w:bCs/>
          <w:kern w:val="0"/>
          <w:sz w:val="32"/>
          <w:szCs w:val="32"/>
        </w:rPr>
        <w:t>第六条</w:t>
      </w:r>
      <w:r>
        <w:rPr>
          <w:rFonts w:ascii="黑体" w:eastAsia="黑体" w:cs="黑体" w:hAnsi="黑体" w:hint="eastAsia"/>
          <w:sz w:val="32"/>
          <w:szCs w:val="32"/>
        </w:rPr>
        <w:t>适用《基准》予以行政处罚，应当按照下列步骤进行：</w:t>
      </w:r>
    </w:p>
    <w:p>
      <w:pPr>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（一）根据违法情节，确定应选择的裁量幅度，对标确定相应的处罚标准，违法行为具有某一裁量幅度中违法情形之一的，即按照该幅度对应的处罚标准进行处罚；</w:t>
      </w:r>
    </w:p>
    <w:p>
      <w:pPr>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（二）处罚标准中规定的处罚种类应当全部适用，不得选择适用；</w:t>
      </w:r>
    </w:p>
    <w:p>
      <w:pPr>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（三）综合考虑违法行为是否具有本《规则》规定的从重、从轻、减轻、不予处罚的情形，确定最终的处罚结果。</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第七条</w:t>
      </w:r>
      <w:r>
        <w:rPr>
          <w:rFonts w:ascii="黑体" w:eastAsia="黑体" w:cs="黑体" w:hAnsi="黑体" w:hint="eastAsia"/>
          <w:kern w:val="0"/>
          <w:sz w:val="32"/>
          <w:szCs w:val="32"/>
        </w:rPr>
        <w:t xml:space="preserve">  对有下列情形之一的违法行为，审计机关应当依法从重处罚：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（一）单位负责人强制下属人员违反相关法律法规的；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（二）挪用或侵占救灾、防灾、抚恤、救济、扶贫、教育、养老、下岗再就业等专项资金和物资的；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（三）屡审屡犯的；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（四）对审计人员、举报人、证人等威胁恐吓或打击报复的；</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（五）法律、法规和规章规定应当从重处罚的其他行为。</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第八条</w:t>
      </w:r>
      <w:r>
        <w:rPr>
          <w:rFonts w:ascii="黑体" w:eastAsia="黑体" w:cs="黑体" w:hAnsi="黑体" w:hint="eastAsia"/>
          <w:kern w:val="0"/>
          <w:sz w:val="32"/>
          <w:szCs w:val="32"/>
        </w:rPr>
        <w:t xml:space="preserve">  审计机关对有下列违反国家规定的情形之一的行为，应当从轻或减轻处罚：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（一）审计期间自查自纠，主动整改，消除或者减轻违法行为危害后果的；</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 xml:space="preserve">（二）受他人指使、强令有违反国家规定的财务收支行为的； </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（三）法律、法规和规章规定可以从轻、减轻或者不予处罚的其他行为。</w:t>
      </w:r>
    </w:p>
    <w:p>
      <w:pPr>
        <w:spacing w:line="560" w:lineRule="exact"/>
        <w:ind w:firstLineChars="200" w:firstLine="640"/>
        <w:rPr>
          <w:rFonts w:ascii="黑体" w:eastAsia="黑体" w:cs="黑体" w:hAnsi="黑体" w:hint="eastAsia"/>
          <w:kern w:val="0"/>
          <w:sz w:val="32"/>
          <w:szCs w:val="32"/>
        </w:rPr>
      </w:pPr>
      <w:r>
        <w:rPr>
          <w:rStyle w:val="19"/>
          <w:rFonts w:ascii="黑体" w:eastAsia="黑体" w:cs="黑体" w:hAnsi="黑体" w:hint="eastAsia"/>
          <w:bCs/>
          <w:color w:val="000000"/>
          <w:sz w:val="32"/>
          <w:szCs w:val="32"/>
        </w:rPr>
        <w:t>违法行为轻微并及时纠正，没有造成危害后果的，不予处罚。</w:t>
      </w:r>
    </w:p>
    <w:p>
      <w:pPr>
        <w:pStyle w:val="17"/>
        <w:widowControl/>
        <w:shd w:val="clear" w:color="auto" w:fill="FFFFFF"/>
        <w:spacing w:line="560" w:lineRule="exact"/>
        <w:ind w:firstLineChars="200" w:firstLine="640"/>
        <w:rPr>
          <w:rFonts w:ascii="黑体" w:eastAsia="黑体" w:cs="黑体" w:hAnsi="黑体" w:hint="eastAsia"/>
          <w:sz w:val="32"/>
          <w:szCs w:val="32"/>
        </w:rPr>
      </w:pPr>
      <w:r>
        <w:rPr>
          <w:rFonts w:ascii="黑体" w:eastAsia="黑体" w:cs="黑体" w:hAnsi="黑体" w:hint="eastAsia"/>
          <w:b/>
          <w:bCs/>
          <w:sz w:val="32"/>
          <w:szCs w:val="32"/>
        </w:rPr>
        <w:t>第九条</w:t>
      </w:r>
      <w:r>
        <w:rPr>
          <w:rFonts w:ascii="黑体" w:eastAsia="黑体" w:cs="黑体" w:hAnsi="黑体" w:hint="eastAsia"/>
          <w:sz w:val="32"/>
          <w:szCs w:val="32"/>
        </w:rPr>
        <w:t>本《规则》所称从重处罚，是指在违法行为对应的法定处罚方式和幅度内，对违法行为选择《基准》相应裁量高限进行行政处罚；本《规则》所称从轻处罚，是指在违法行为对应的法定处罚方式和幅度内，对违法行为选择《基准》相应裁量低限进行行政处罚；本《规范》所称减轻处罚，是指在违法行为对应的法定处罚最低限度以下，对违法行为进行行政处罚。</w:t>
      </w:r>
    </w:p>
    <w:p>
      <w:pPr>
        <w:pStyle w:val="17"/>
        <w:widowControl/>
        <w:shd w:val="clear" w:color="auto" w:fill="FFFFFF"/>
        <w:spacing w:line="560" w:lineRule="exact"/>
        <w:ind w:firstLineChars="200" w:firstLine="640"/>
        <w:rPr>
          <w:rFonts w:ascii="黑体" w:eastAsia="黑体" w:cs="黑体" w:hAnsi="黑体" w:hint="eastAsia"/>
          <w:sz w:val="32"/>
          <w:szCs w:val="32"/>
        </w:rPr>
      </w:pPr>
      <w:r>
        <w:rPr>
          <w:rFonts w:ascii="黑体" w:eastAsia="黑体" w:cs="黑体" w:hAnsi="黑体" w:hint="eastAsia"/>
          <w:b/>
          <w:bCs/>
          <w:sz w:val="32"/>
          <w:szCs w:val="32"/>
        </w:rPr>
        <w:t>第十条</w:t>
      </w:r>
      <w:r>
        <w:rPr>
          <w:rFonts w:ascii="黑体" w:eastAsia="黑体" w:cs="黑体" w:hAnsi="黑体" w:hint="eastAsia"/>
          <w:sz w:val="32"/>
          <w:szCs w:val="32"/>
        </w:rPr>
        <w:t>法律、法规、规章规定可以单处处罚也可以并处处罚的,对从轻或减轻处罚的情节，一般不适用并处的处罚方式；对从重处罚的情节，应当适用并处的处罚方式。</w:t>
      </w:r>
    </w:p>
    <w:p>
      <w:pPr>
        <w:pStyle w:val="17"/>
        <w:widowControl/>
        <w:shd w:val="clear" w:color="auto" w:fill="FFFFFF"/>
        <w:spacing w:line="560" w:lineRule="exact"/>
        <w:ind w:firstLineChars="200" w:firstLine="640"/>
        <w:rPr>
          <w:rFonts w:ascii="黑体" w:eastAsia="黑体" w:cs="黑体" w:hAnsi="黑体" w:hint="eastAsia"/>
          <w:sz w:val="32"/>
          <w:szCs w:val="32"/>
        </w:rPr>
      </w:pPr>
      <w:r>
        <w:rPr>
          <w:rFonts w:ascii="黑体" w:eastAsia="黑体" w:cs="黑体" w:hAnsi="黑体" w:hint="eastAsia"/>
          <w:b/>
          <w:bCs/>
          <w:sz w:val="32"/>
          <w:szCs w:val="32"/>
        </w:rPr>
        <w:t>第十一条</w:t>
      </w:r>
      <w:r>
        <w:rPr>
          <w:rFonts w:ascii="黑体" w:eastAsia="黑体" w:cs="黑体" w:hAnsi="黑体" w:hint="eastAsia"/>
          <w:sz w:val="32"/>
          <w:szCs w:val="32"/>
        </w:rPr>
        <w:t>《河北省审计机关实施行政处罚裁量权基准》以行政处罚法设定的处罚种类为基准，以法律法规设定的其他种类为补充。</w:t>
      </w:r>
    </w:p>
    <w:p>
      <w:pPr>
        <w:pStyle w:val="17"/>
        <w:widowControl/>
        <w:shd w:val="clear" w:color="auto" w:fill="FFFFFF"/>
        <w:spacing w:line="560" w:lineRule="exact"/>
        <w:ind w:firstLineChars="200" w:firstLine="640"/>
        <w:rPr>
          <w:rFonts w:ascii="黑体" w:eastAsia="黑体" w:cs="黑体" w:hAnsi="黑体" w:hint="eastAsia"/>
          <w:sz w:val="32"/>
          <w:szCs w:val="32"/>
        </w:rPr>
      </w:pPr>
      <w:r>
        <w:rPr>
          <w:rFonts w:ascii="黑体" w:eastAsia="黑体" w:cs="黑体" w:hAnsi="黑体" w:hint="eastAsia"/>
          <w:sz w:val="32"/>
          <w:szCs w:val="32"/>
        </w:rPr>
        <w:t>法律法规规定明晰，无裁量空间的行政处罚事项，按规定落实，不列入《基准》。</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第十二条</w:t>
      </w:r>
      <w:r>
        <w:rPr>
          <w:rFonts w:ascii="黑体" w:eastAsia="黑体" w:cs="黑体" w:hAnsi="黑体" w:hint="eastAsia"/>
          <w:kern w:val="0"/>
          <w:sz w:val="32"/>
          <w:szCs w:val="32"/>
        </w:rPr>
        <w:t>审计机关依据《财政违法行为处罚处分条例》实施行政处罚的，应当在审计职权范围内，按照河北省财政厅牵头、河北省审计厅共同制定的相关裁量基准执行。</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第十三条</w:t>
      </w:r>
      <w:r>
        <w:rPr>
          <w:rFonts w:ascii="黑体" w:eastAsia="黑体" w:cs="黑体" w:hAnsi="黑体" w:hint="eastAsia"/>
          <w:kern w:val="0"/>
          <w:sz w:val="32"/>
          <w:szCs w:val="32"/>
        </w:rPr>
        <w:t>在适用裁量权作出免予、从轻或者从重行政处罚决定的，应当有充足的事实、理由、证据，并在审计报告征求意见书、审计业务会议记录中予以说明，在审计证据中予以体现。</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第十四条</w:t>
      </w:r>
      <w:r>
        <w:rPr>
          <w:rFonts w:ascii="黑体" w:eastAsia="黑体" w:cs="黑体" w:hAnsi="黑体" w:hint="eastAsia"/>
          <w:kern w:val="0"/>
          <w:sz w:val="32"/>
          <w:szCs w:val="32"/>
        </w:rPr>
        <w:t>除法律另有规定外，被审计单位违反国家规定的财务收支行为在两年内未被发现的，审计机关不再给予审计处罚；但应当对该违反国家规定的财务收支行为依法予以审计处理。</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kern w:val="0"/>
          <w:sz w:val="32"/>
          <w:szCs w:val="32"/>
        </w:rPr>
        <w:t>前款规定的期限，从违法行为终了之日起计算。</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第十五条</w:t>
      </w:r>
      <w:r>
        <w:rPr>
          <w:rFonts w:ascii="黑体" w:eastAsia="黑体" w:cs="黑体" w:hAnsi="黑体" w:hint="eastAsia"/>
          <w:kern w:val="0"/>
          <w:sz w:val="32"/>
          <w:szCs w:val="32"/>
        </w:rPr>
        <w:t>《河北省审计机关行政处罚裁量权基准》所称“以下”不包括本数，“以上”包括本数。最高等次罚款均包含本数。法律、法规、规章另有规定的，从起规定。</w:t>
      </w:r>
    </w:p>
    <w:p>
      <w:pPr>
        <w:spacing w:line="560" w:lineRule="exact"/>
        <w:ind w:firstLineChars="200" w:firstLine="640"/>
        <w:rPr>
          <w:rFonts w:ascii="黑体" w:eastAsia="黑体" w:cs="黑体" w:hAnsi="黑体" w:hint="eastAsia"/>
          <w:kern w:val="0"/>
          <w:sz w:val="32"/>
          <w:szCs w:val="32"/>
        </w:rPr>
      </w:pPr>
      <w:r>
        <w:rPr>
          <w:rFonts w:ascii="黑体" w:eastAsia="黑体" w:cs="黑体" w:hAnsi="黑体" w:hint="eastAsia"/>
          <w:b/>
          <w:bCs/>
          <w:kern w:val="0"/>
          <w:sz w:val="32"/>
          <w:szCs w:val="32"/>
        </w:rPr>
        <w:t>第十六条</w:t>
      </w:r>
      <w:r>
        <w:rPr>
          <w:rFonts w:ascii="黑体" w:eastAsia="黑体" w:cs="黑体" w:hAnsi="黑体" w:hint="eastAsia"/>
          <w:kern w:val="0"/>
          <w:sz w:val="32"/>
          <w:szCs w:val="32"/>
        </w:rPr>
        <w:t xml:space="preserve">  《河北省审计机关行政处罚裁量权基准》及本规则由河北省审计厅负责解释，有效期为2023年8月31日至2028年8月31日。2009年12月7日印发的《河北省审计处罚自由裁量权适用规则（试行）》和《河北省审计处罚自由裁量权执行标准（试行）》同时废止。 </w:t>
      </w:r>
    </w:p>
    <w:p>
      <w:pPr>
        <w:spacing w:line="540" w:lineRule="exact"/>
        <w:ind w:right="6"/>
        <w:outlineLvl w:val="0"/>
        <w:rPr>
          <w:rFonts w:ascii="黑体" w:eastAsia="黑体" w:cs="黑体" w:hAnsi="黑体" w:hint="eastAsia"/>
          <w:kern w:val="0"/>
          <w:sz w:val="32"/>
          <w:szCs w:val="32"/>
        </w:rPr>
      </w:pPr>
      <w:r>
        <w:rPr>
          <w:rFonts w:ascii="黑体" w:eastAsia="黑体" w:cs="黑体" w:hAnsi="黑体" w:hint="eastAsia"/>
          <w:kern w:val="0"/>
          <w:sz w:val="32"/>
          <w:szCs w:val="32"/>
        </w:rPr>
        <mc:AlternateContent>
          <mc:Choice Requires="wps">
            <w:drawing>
              <wp:anchor distT="0" distB="0" distL="91438" distR="91438" simplePos="0" relativeHeight="16" behindDoc="0" locked="0" layoutInCell="1" hidden="0" allowOverlap="1">
                <wp:simplePos x="0" y="0"/>
                <wp:positionH relativeFrom="column">
                  <wp:posOffset>3175</wp:posOffset>
                </wp:positionH>
                <wp:positionV relativeFrom="paragraph">
                  <wp:posOffset>313690</wp:posOffset>
                </wp:positionV>
                <wp:extent cx="5718810" cy="761"/>
                <wp:effectExtent l="0" t="0" r="0" b="0"/>
                <wp:wrapNone/>
                <wp:docPr id="3" name="_x0000_s1028"/>
                <wp:cNvGraphicFramePr>
                  <a:graphicFrameLocks noChangeAspect="0"/>
                </wp:cNvGraphicFramePr>
                <a:graphic>
                  <a:graphicData uri="http://schemas.microsoft.com/office/word/2010/wordprocessingShape">
                    <wps:wsp>
                      <wps:cNvSpPr/>
                      <wps:spPr>
                        <a:xfrm rot="0">
                          <a:off x="0" y="0"/>
                          <a:ext cx="5718810" cy="761"/>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8 4" o:spid="_x0000_s4" from="0.25pt,24.7pt" to="450.55pt,24.759998pt" filled="f" stroked="t" strokeweight="1.0pt" style="position:absolute;z-index:16;mso-position-horizontal:absolute;mso-position-vertical:absolute;mso-wrap-distance-left:7.19989pt;mso-wrap-distance-right:7.19989pt;visibility:visible;">
                <v:stroke color="#000000"/>
              </v:line>
            </w:pict>
          </mc:Fallback>
        </mc:AlternateContent>
      </w:r>
    </w:p>
    <w:p>
      <w:pPr>
        <w:spacing w:line="560" w:lineRule="exact"/>
        <w:ind w:right="6" w:firstLine="0"/>
        <w:outlineLvl w:val="0"/>
        <w:rPr>
          <w:rFonts w:ascii="黑体" w:eastAsia="黑体" w:cs="黑体" w:hAnsi="黑体"/>
          <w:kern w:val="0"/>
          <w:sz w:val="32"/>
          <w:szCs w:val="32"/>
        </w:rPr>
      </w:pPr>
      <w:r>
        <w:rPr>
          <w:rFonts w:ascii="仿宋_GB2312" w:hAnsi="仿宋_GB2312"/>
          <w:kern w:val="0"/>
          <w:sz w:val="28"/>
          <w:szCs w:val="28"/>
          <w:u w:val="thick"/>
        </w:rPr>
        <mc:AlternateContent>
          <mc:Choice Requires="wps">
            <w:drawing>
              <wp:anchor distT="0" distB="0" distL="91438" distR="91438" simplePos="0" relativeHeight="18" behindDoc="0" locked="0" layoutInCell="1" hidden="0" allowOverlap="1">
                <wp:simplePos x="0" y="0"/>
                <wp:positionH relativeFrom="column">
                  <wp:posOffset>-24130</wp:posOffset>
                </wp:positionH>
                <wp:positionV relativeFrom="paragraph">
                  <wp:posOffset>395604</wp:posOffset>
                </wp:positionV>
                <wp:extent cx="5718810" cy="761"/>
                <wp:effectExtent l="0" t="0" r="0" b="0"/>
                <wp:wrapNone/>
                <wp:docPr id="5" name="_x0000_s1027"/>
                <wp:cNvGraphicFramePr>
                  <a:graphicFrameLocks noChangeAspect="0"/>
                </wp:cNvGraphicFramePr>
                <a:graphic>
                  <a:graphicData uri="http://schemas.microsoft.com/office/word/2010/wordprocessingShape">
                    <wps:wsp>
                      <wps:cNvSpPr/>
                      <wps:spPr>
                        <a:xfrm rot="0">
                          <a:off x="0" y="0"/>
                          <a:ext cx="5718810" cy="761"/>
                        </a:xfrm>
                        <a:prstGeom prst="line"/>
                        <a:noFill/>
                        <a:ln w="1270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_x0000_s1027 6" o:spid="_x0000_s6" from="-1.8999999pt,31.149998pt" to="448.4pt,31.209995pt" filled="f" stroked="t" strokeweight="1.0pt" style="position:absolute;z-index:18;mso-position-horizontal:absolute;mso-position-vertical:absolute;mso-wrap-distance-left:7.19989pt;mso-wrap-distance-right:7.19989pt;visibility:visible;">
                <v:stroke color="#000000"/>
              </v:line>
            </w:pict>
          </mc:Fallback>
        </mc:AlternateContent>
      </w:r>
      <w:r>
        <w:rPr>
          <w:rFonts w:ascii="黑体" w:eastAsia="黑体" w:cs="黑体" w:hAnsi="黑体" w:hint="eastAsia"/>
          <w:kern w:val="0"/>
          <w:sz w:val="32"/>
          <w:szCs w:val="32"/>
        </w:rPr>
        <w:t>河北省审计厅办公室　　　　　　　   2023年8月23日印发</w:t>
      </w:r>
    </w:p>
    <w:p>
      <w:pPr>
        <w:spacing w:line="560" w:lineRule="exact"/>
        <w:ind w:right="6" w:firstLine="0"/>
        <w:outlineLvl w:val="0"/>
        <w:rPr>
          <w:rFonts w:ascii="仿宋_GB2312" w:cs="仿宋_GB2312" w:hAnsi="仿宋_GB2312" w:hint="eastAsia"/>
          <w:color w:val="333333"/>
          <w:kern w:val="0"/>
          <w:szCs w:val="32"/>
          <w:shd w:val="clear" w:color="auto" w:fill="FFFFFF"/>
        </w:rPr>
      </w:pPr>
    </w:p>
    <w:sectPr>
      <w:pgSz w:w="11907" w:h="16840"/>
      <w:pgMar w:top="1440" w:right="1474" w:bottom="1440" w:left="1474" w:header="851" w:footer="992" w:gutter="0"/>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仿宋_GB2312">
    <w:altName w:val="仿宋"/>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长城大标宋体">
    <w:altName w:val="宋体"/>
    <w:panose1 w:val="00000000000000000000"/>
    <w:charset w:val="86"/>
    <w:family w:val="modern"/>
    <w:pitch w:val="variable"/>
    <w:sig w:usb0="00000000" w:usb1="00000000" w:usb2="00000000" w:usb3="00000000" w:csb0="00000000" w:csb1="00000000"/>
  </w:font>
  <w:font w:name="方正小标宋简体">
    <w:altName w:val="Arial Unicode MS"/>
    <w:panose1 w:val="00000000000000000000"/>
    <w:charset w:val="86"/>
    <w:family w:val="script"/>
    <w:pitch w:val="variable"/>
    <w:sig w:usb0="00000000" w:usb1="00000000" w:usb2="00000012" w:usb3="00000000" w:csb0="00040001" w:csb1="00000000"/>
  </w:font>
  <w:font w:name="方正小标宋_GBK">
    <w:panose1 w:val="03000509000000000000"/>
    <w:charset w:val="86"/>
    <w:family w:val="auto"/>
    <w:pitch w:val="variable"/>
    <w:sig w:usb0="00000001" w:usb1="080E0000" w:usb2="00000000" w:usb3="00000000" w:csb0="00040000"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00002FF" w:usb1="4000ACFF" w:usb2="00000001" w:usb3="00000000" w:csb0="2000019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7"/>
    <w:basedOn w:val="0"/>
    <w:next w:val="0"/>
    <w:pPr>
      <w:ind w:left="2520"/>
    </w:pPr>
  </w:style>
  <w:style w:type="paragraph" w:styleId="16">
    <w:name w:val="List Continue"/>
    <w:basedOn w:val="0"/>
    <w:pPr>
      <w:spacing w:after="120"/>
      <w:ind w:left="420"/>
    </w:pPr>
  </w:style>
  <w:style w:type="paragraph" w:styleId="17">
    <w:name w:val="Normal (Web)"/>
    <w:basedOn w:val="0"/>
    <w:rPr>
      <w:sz w:val="24"/>
      <w:szCs w:val="24"/>
    </w:rPr>
  </w:style>
  <w:style w:type="character" w:styleId="18">
    <w:name w:val="Hyperlink"/>
    <w:basedOn w:val="10"/>
    <w:rPr>
      <w:color w:val="0000FF"/>
      <w:u w:val="single"/>
    </w:rPr>
  </w:style>
  <w:style w:type="character" w:customStyle="1" w:styleId="19">
    <w:name w:val="unnamed11"/>
    <w:rPr>
      <w:rFonts w:ascii="宋体" w:eastAsia="宋体" w:hAnsi="宋体"/>
      <w:sz w:val="21"/>
      <w:szCs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emf"/><Relationship Id="rId3" Type="http://schemas.openxmlformats.org/officeDocument/2006/relationships/oleObject" Target="embeddings/oleObject1.bin"/><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943FA40-26BA-4173-BC62-E6589F49B3E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74</TotalTime>
  <Application>Yozo_Office27021597764231179</Application>
  <Pages>9</Pages>
  <Words>0</Words>
  <Characters>2030</Characters>
  <Lines>0</Lines>
  <Paragraphs>123</Paragraphs>
  <CharactersWithSpaces>2707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lenovo</cp:lastModifiedBy>
  <cp:revision>1</cp:revision>
  <cp:lastPrinted>2023-11-22T02:18:00Z</cp:lastPrinted>
  <dcterms:created xsi:type="dcterms:W3CDTF">2021-05-08T07:28:00Z</dcterms:created>
  <dcterms:modified xsi:type="dcterms:W3CDTF">2025-01-02T03:29:15Z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2052-11.8.2.10972</vt:lpwstr>
  </property>
  <property fmtid="{D5CDD505-2E9C-101B-9397-08002B2CF9AE}" pid="3" name="ICV">
    <vt:lpwstr>204601F52C67499C9D4777D69A75CC15</vt:lpwstr>
  </property>
</Properties>
</file>